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20" w:rsidRDefault="00F83320" w:rsidP="00F83320">
      <w:pPr>
        <w:jc w:val="center"/>
        <w:rPr>
          <w:rFonts w:ascii="Calibri" w:hAnsi="Calibri"/>
          <w:color w:val="262626" w:themeColor="text1" w:themeTint="D9"/>
          <w:sz w:val="28"/>
          <w:szCs w:val="28"/>
        </w:rPr>
      </w:pPr>
    </w:p>
    <w:p w:rsidR="00743A31" w:rsidRPr="00F83320" w:rsidRDefault="006659CB" w:rsidP="00F83320">
      <w:pPr>
        <w:jc w:val="center"/>
        <w:rPr>
          <w:rFonts w:ascii="Calibri" w:hAnsi="Calibri"/>
          <w:color w:val="262626" w:themeColor="text1" w:themeTint="D9"/>
          <w:sz w:val="28"/>
          <w:szCs w:val="28"/>
        </w:rPr>
      </w:pPr>
      <w:proofErr w:type="spellStart"/>
      <w:r w:rsidRPr="00F83320">
        <w:rPr>
          <w:rFonts w:ascii="Calibri" w:hAnsi="Calibri"/>
          <w:color w:val="262626" w:themeColor="text1" w:themeTint="D9"/>
          <w:sz w:val="28"/>
          <w:szCs w:val="28"/>
        </w:rPr>
        <w:t>Literatur</w:t>
      </w:r>
      <w:r w:rsidR="00F83320" w:rsidRPr="00F83320">
        <w:rPr>
          <w:rFonts w:ascii="Calibri" w:hAnsi="Calibri"/>
          <w:color w:val="262626" w:themeColor="text1" w:themeTint="D9"/>
          <w:sz w:val="28"/>
          <w:szCs w:val="28"/>
        </w:rPr>
        <w:t>hinweise</w:t>
      </w:r>
      <w:proofErr w:type="spellEnd"/>
    </w:p>
    <w:p w:rsidR="006659CB" w:rsidRPr="00F83320" w:rsidRDefault="006659CB" w:rsidP="00F83320">
      <w:pPr>
        <w:rPr>
          <w:rFonts w:ascii="Calibri" w:hAnsi="Calibri"/>
          <w:color w:val="262626" w:themeColor="text1" w:themeTint="D9"/>
          <w:sz w:val="22"/>
          <w:szCs w:val="22"/>
        </w:rPr>
      </w:pPr>
    </w:p>
    <w:p w:rsidR="00F83320" w:rsidRDefault="00F83320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</w:p>
    <w:p w:rsidR="001E47F7" w:rsidRPr="00F83320" w:rsidRDefault="006659CB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Zum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internationalen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Investitionsschutzrecht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gibt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es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mittlerweile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diverse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zuverlässige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Überblicksdarstellungen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, die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sich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gram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an</w:t>
      </w:r>
      <w:proofErr w:type="gram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Studierende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wenden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. </w:t>
      </w:r>
    </w:p>
    <w:p w:rsidR="001E47F7" w:rsidRDefault="001E47F7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</w:p>
    <w:p w:rsidR="00F83320" w:rsidRPr="00F83320" w:rsidRDefault="00F83320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</w:p>
    <w:p w:rsidR="000E0A2D" w:rsidRPr="00F83320" w:rsidRDefault="000E0A2D" w:rsidP="00F83320">
      <w:pPr>
        <w:jc w:val="both"/>
        <w:rPr>
          <w:rFonts w:ascii="Calibri" w:hAnsi="Calibri"/>
          <w:b/>
          <w:color w:val="262626" w:themeColor="text1" w:themeTint="D9"/>
          <w:sz w:val="22"/>
          <w:szCs w:val="22"/>
        </w:rPr>
      </w:pPr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 xml:space="preserve">1) </w:t>
      </w:r>
      <w:proofErr w:type="spellStart"/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>Investitionsschutzrecht</w:t>
      </w:r>
      <w:proofErr w:type="spellEnd"/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 xml:space="preserve"> in </w:t>
      </w:r>
      <w:proofErr w:type="spellStart"/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>Werken</w:t>
      </w:r>
      <w:proofErr w:type="spellEnd"/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>zum</w:t>
      </w:r>
      <w:proofErr w:type="spellEnd"/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>internationalen</w:t>
      </w:r>
      <w:proofErr w:type="spellEnd"/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>Wirtschaftsrecht</w:t>
      </w:r>
      <w:proofErr w:type="spellEnd"/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 xml:space="preserve"> </w:t>
      </w:r>
    </w:p>
    <w:p w:rsidR="006659CB" w:rsidRPr="00F83320" w:rsidRDefault="001E47F7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In den </w:t>
      </w:r>
      <w:proofErr w:type="spellStart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folgenden</w:t>
      </w:r>
      <w:proofErr w:type="spellEnd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deutschsprachigen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Werke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zum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internationalen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Wirt</w:t>
      </w:r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schaftsrecht</w:t>
      </w:r>
      <w:proofErr w:type="spellEnd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finden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sich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längere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Ab</w:t>
      </w:r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>schnitte</w:t>
      </w:r>
      <w:proofErr w:type="spellEnd"/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>zum</w:t>
      </w:r>
      <w:proofErr w:type="spellEnd"/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>Investitionsschutz</w:t>
      </w:r>
      <w:proofErr w:type="spellEnd"/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. </w:t>
      </w:r>
      <w:proofErr w:type="spellStart"/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>D</w:t>
      </w:r>
      <w:r w:rsidRPr="00F83320">
        <w:rPr>
          <w:rFonts w:ascii="Calibri" w:hAnsi="Calibri"/>
          <w:color w:val="262626" w:themeColor="text1" w:themeTint="D9"/>
          <w:sz w:val="22"/>
          <w:szCs w:val="22"/>
        </w:rPr>
        <w:t>iese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führen</w:t>
      </w:r>
      <w:proofErr w:type="spellEnd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gramStart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gut in die</w:t>
      </w:r>
      <w:proofErr w:type="gramEnd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Thematik</w:t>
      </w:r>
      <w:proofErr w:type="spellEnd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ein</w:t>
      </w:r>
      <w:proofErr w:type="spellEnd"/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, </w:t>
      </w:r>
      <w:proofErr w:type="spellStart"/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>decken</w:t>
      </w:r>
      <w:proofErr w:type="spellEnd"/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das </w:t>
      </w:r>
      <w:proofErr w:type="spellStart"/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>materielle</w:t>
      </w:r>
      <w:proofErr w:type="spellEnd"/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>Recht</w:t>
      </w:r>
      <w:proofErr w:type="spellEnd"/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und </w:t>
      </w:r>
      <w:proofErr w:type="spellStart"/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>Fragen</w:t>
      </w:r>
      <w:proofErr w:type="spellEnd"/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der </w:t>
      </w:r>
      <w:proofErr w:type="spellStart"/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>Rechtdurchsetzung</w:t>
      </w:r>
      <w:proofErr w:type="spellEnd"/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>ab</w:t>
      </w:r>
      <w:proofErr w:type="spellEnd"/>
      <w:r w:rsidR="000E0A2D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und </w:t>
      </w:r>
      <w:proofErr w:type="spellStart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enthalten</w:t>
      </w:r>
      <w:proofErr w:type="spellEnd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weiterführende</w:t>
      </w:r>
      <w:proofErr w:type="spellEnd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Hinweise</w:t>
      </w:r>
      <w:proofErr w:type="spellEnd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:</w:t>
      </w:r>
    </w:p>
    <w:p w:rsidR="006659CB" w:rsidRPr="00F83320" w:rsidRDefault="006659CB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</w:p>
    <w:p w:rsidR="006659CB" w:rsidRPr="00F83320" w:rsidRDefault="001E47F7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* </w:t>
      </w:r>
      <w:proofErr w:type="spellStart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Krajewski</w:t>
      </w:r>
      <w:proofErr w:type="spellEnd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, </w:t>
      </w:r>
      <w:proofErr w:type="spellStart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Wirtschaftsvölkerrecht</w:t>
      </w:r>
      <w:proofErr w:type="spellEnd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(CF Müller, 3.Aufl</w:t>
      </w:r>
      <w:proofErr w:type="gramStart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.,</w:t>
      </w:r>
      <w:proofErr w:type="gramEnd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2012), § 3 </w:t>
      </w:r>
    </w:p>
    <w:p w:rsidR="001E47F7" w:rsidRPr="00F83320" w:rsidRDefault="001E47F7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* </w:t>
      </w:r>
      <w:proofErr w:type="spellStart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Schöbener</w:t>
      </w:r>
      <w:proofErr w:type="spellEnd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/</w:t>
      </w:r>
      <w:proofErr w:type="spellStart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Herbst</w:t>
      </w:r>
      <w:proofErr w:type="spellEnd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/</w:t>
      </w:r>
      <w:proofErr w:type="spellStart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Perkams</w:t>
      </w:r>
      <w:proofErr w:type="spellEnd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, </w:t>
      </w:r>
      <w:proofErr w:type="spellStart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Internationales</w:t>
      </w:r>
      <w:proofErr w:type="spellEnd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Wirt</w:t>
      </w:r>
      <w:r w:rsidRPr="00F83320">
        <w:rPr>
          <w:rFonts w:ascii="Calibri" w:hAnsi="Calibri"/>
          <w:color w:val="262626" w:themeColor="text1" w:themeTint="D9"/>
          <w:sz w:val="22"/>
          <w:szCs w:val="22"/>
        </w:rPr>
        <w:t>s</w:t>
      </w:r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chaftsrecht</w:t>
      </w:r>
      <w:proofErr w:type="spellEnd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(CF Müller, 2010): </w:t>
      </w:r>
      <w:proofErr w:type="spellStart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>Kapitel</w:t>
      </w:r>
      <w:proofErr w:type="spellEnd"/>
      <w:r w:rsidR="006659CB"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4</w:t>
      </w:r>
    </w:p>
    <w:p w:rsidR="001E47F7" w:rsidRPr="00F83320" w:rsidRDefault="001E47F7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*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Herdegen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,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Internationales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Wirtschaftsrecht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(Beck, 10.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Aufl</w:t>
      </w:r>
      <w:proofErr w:type="spellEnd"/>
      <w:proofErr w:type="gram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.,</w:t>
      </w:r>
      <w:proofErr w:type="gram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2014),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Fünfter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Teil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(§§ 20-23)</w:t>
      </w:r>
    </w:p>
    <w:p w:rsidR="000E0A2D" w:rsidRPr="00F83320" w:rsidRDefault="000E0A2D" w:rsidP="00F8332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Arial"/>
          <w:b w:val="0"/>
          <w:color w:val="262626" w:themeColor="text1" w:themeTint="D9"/>
          <w:sz w:val="22"/>
          <w:szCs w:val="22"/>
        </w:rPr>
      </w:pPr>
      <w:r w:rsidRPr="00F83320">
        <w:rPr>
          <w:rFonts w:ascii="Calibri" w:hAnsi="Calibri"/>
          <w:b w:val="0"/>
          <w:color w:val="262626" w:themeColor="text1" w:themeTint="D9"/>
          <w:sz w:val="22"/>
          <w:szCs w:val="22"/>
        </w:rPr>
        <w:t xml:space="preserve">* </w:t>
      </w:r>
      <w:proofErr w:type="spellStart"/>
      <w:r w:rsidRPr="00F83320">
        <w:rPr>
          <w:rFonts w:ascii="Calibri" w:hAnsi="Calibri"/>
          <w:b w:val="0"/>
          <w:color w:val="262626" w:themeColor="text1" w:themeTint="D9"/>
          <w:sz w:val="22"/>
          <w:szCs w:val="22"/>
        </w:rPr>
        <w:t>Tietje</w:t>
      </w:r>
      <w:proofErr w:type="spellEnd"/>
      <w:r w:rsidR="00F83320" w:rsidRPr="00F83320">
        <w:rPr>
          <w:rFonts w:ascii="Calibri" w:hAnsi="Calibri"/>
          <w:b w:val="0"/>
          <w:color w:val="262626" w:themeColor="text1" w:themeTint="D9"/>
          <w:sz w:val="22"/>
          <w:szCs w:val="22"/>
        </w:rPr>
        <w:t xml:space="preserve"> (</w:t>
      </w:r>
      <w:proofErr w:type="spellStart"/>
      <w:r w:rsidR="00F83320" w:rsidRPr="00F83320">
        <w:rPr>
          <w:rFonts w:ascii="Calibri" w:hAnsi="Calibri"/>
          <w:b w:val="0"/>
          <w:color w:val="262626" w:themeColor="text1" w:themeTint="D9"/>
          <w:sz w:val="22"/>
          <w:szCs w:val="22"/>
        </w:rPr>
        <w:t>Hg</w:t>
      </w:r>
      <w:proofErr w:type="spellEnd"/>
      <w:r w:rsidR="00F83320" w:rsidRPr="00F83320">
        <w:rPr>
          <w:rFonts w:ascii="Calibri" w:hAnsi="Calibri"/>
          <w:b w:val="0"/>
          <w:color w:val="262626" w:themeColor="text1" w:themeTint="D9"/>
          <w:sz w:val="22"/>
          <w:szCs w:val="22"/>
        </w:rPr>
        <w:t>.)</w:t>
      </w:r>
      <w:r w:rsidRPr="00F83320">
        <w:rPr>
          <w:rFonts w:ascii="Calibri" w:hAnsi="Calibri"/>
          <w:b w:val="0"/>
          <w:color w:val="262626" w:themeColor="text1" w:themeTint="D9"/>
          <w:sz w:val="22"/>
          <w:szCs w:val="22"/>
        </w:rPr>
        <w:t xml:space="preserve">, </w:t>
      </w:r>
      <w:r w:rsidRPr="00F83320">
        <w:rPr>
          <w:rFonts w:ascii="Calibri" w:eastAsia="Times New Roman" w:hAnsi="Calibri" w:cs="Arial"/>
          <w:b w:val="0"/>
          <w:color w:val="262626" w:themeColor="text1" w:themeTint="D9"/>
          <w:sz w:val="22"/>
          <w:szCs w:val="22"/>
        </w:rPr>
        <w:t>Internationales Wirtschaftsrecht (</w:t>
      </w:r>
      <w:r w:rsidR="00F83320" w:rsidRPr="00F83320">
        <w:rPr>
          <w:rFonts w:ascii="Calibri" w:eastAsia="Times New Roman" w:hAnsi="Calibri" w:cs="Arial"/>
          <w:b w:val="0"/>
          <w:color w:val="262626" w:themeColor="text1" w:themeTint="D9"/>
          <w:sz w:val="22"/>
          <w:szCs w:val="22"/>
        </w:rPr>
        <w:t xml:space="preserve">de </w:t>
      </w:r>
      <w:proofErr w:type="spellStart"/>
      <w:r w:rsidR="00F83320" w:rsidRPr="00F83320">
        <w:rPr>
          <w:rFonts w:ascii="Calibri" w:eastAsia="Times New Roman" w:hAnsi="Calibri" w:cs="Arial"/>
          <w:b w:val="0"/>
          <w:color w:val="262626" w:themeColor="text1" w:themeTint="D9"/>
          <w:sz w:val="22"/>
          <w:szCs w:val="22"/>
        </w:rPr>
        <w:t>Gruyter</w:t>
      </w:r>
      <w:proofErr w:type="spellEnd"/>
      <w:r w:rsidR="00F83320" w:rsidRPr="00F83320">
        <w:rPr>
          <w:rFonts w:ascii="Calibri" w:eastAsia="Times New Roman" w:hAnsi="Calibri" w:cs="Arial"/>
          <w:b w:val="0"/>
          <w:color w:val="262626" w:themeColor="text1" w:themeTint="D9"/>
          <w:sz w:val="22"/>
          <w:szCs w:val="22"/>
        </w:rPr>
        <w:t xml:space="preserve">, </w:t>
      </w:r>
      <w:r w:rsidRPr="00F83320">
        <w:rPr>
          <w:rFonts w:ascii="Calibri" w:eastAsia="Times New Roman" w:hAnsi="Calibri" w:cs="Arial"/>
          <w:b w:val="0"/>
          <w:color w:val="262626" w:themeColor="text1" w:themeTint="D9"/>
          <w:sz w:val="22"/>
          <w:szCs w:val="22"/>
        </w:rPr>
        <w:t xml:space="preserve">2. Aufl., 2015), </w:t>
      </w:r>
      <w:r w:rsidR="00F83320" w:rsidRPr="00F83320">
        <w:rPr>
          <w:rFonts w:ascii="Calibri" w:eastAsia="Times New Roman" w:hAnsi="Calibri" w:cs="Arial"/>
          <w:b w:val="0"/>
          <w:color w:val="262626" w:themeColor="text1" w:themeTint="D9"/>
          <w:sz w:val="22"/>
          <w:szCs w:val="22"/>
        </w:rPr>
        <w:t>§ 8</w:t>
      </w:r>
    </w:p>
    <w:p w:rsidR="000E0A2D" w:rsidRPr="00F83320" w:rsidRDefault="000E0A2D" w:rsidP="00F83320">
      <w:pPr>
        <w:jc w:val="both"/>
        <w:rPr>
          <w:rFonts w:ascii="Calibri" w:eastAsia="Times New Roman" w:hAnsi="Calibri" w:cs="Times New Roman"/>
          <w:color w:val="262626" w:themeColor="text1" w:themeTint="D9"/>
          <w:sz w:val="22"/>
          <w:szCs w:val="22"/>
          <w:lang w:val="de-DE"/>
        </w:rPr>
      </w:pPr>
    </w:p>
    <w:p w:rsidR="006659CB" w:rsidRPr="00F83320" w:rsidRDefault="006659CB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</w:p>
    <w:p w:rsidR="000E0A2D" w:rsidRPr="00F83320" w:rsidRDefault="000E0A2D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</w:p>
    <w:p w:rsidR="000E0A2D" w:rsidRPr="00F83320" w:rsidRDefault="000E0A2D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 xml:space="preserve">2) </w:t>
      </w:r>
      <w:proofErr w:type="spellStart"/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>Lehrbücher</w:t>
      </w:r>
      <w:proofErr w:type="spellEnd"/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>zum</w:t>
      </w:r>
      <w:proofErr w:type="spellEnd"/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>Investitionsschutzrecht</w:t>
      </w:r>
      <w:proofErr w:type="spellEnd"/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 xml:space="preserve"> </w:t>
      </w:r>
    </w:p>
    <w:p w:rsidR="000E0A2D" w:rsidRPr="00F83320" w:rsidRDefault="000E0A2D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Im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deutschen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Schrifttum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gibt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es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ein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(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gutes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,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wenn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auch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="00F83320">
        <w:rPr>
          <w:rFonts w:ascii="Calibri" w:hAnsi="Calibri"/>
          <w:color w:val="262626" w:themeColor="text1" w:themeTint="D9"/>
          <w:sz w:val="22"/>
          <w:szCs w:val="22"/>
        </w:rPr>
        <w:t>nunmehr</w:t>
      </w:r>
      <w:proofErr w:type="spellEnd"/>
      <w:r w:rsid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etwas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veraltetes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)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Lehrbuch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zum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Investitionsschutzrecht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;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dazu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liegen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="00F83320">
        <w:rPr>
          <w:rFonts w:ascii="Calibri" w:hAnsi="Calibri"/>
          <w:color w:val="262626" w:themeColor="text1" w:themeTint="D9"/>
          <w:sz w:val="22"/>
          <w:szCs w:val="22"/>
        </w:rPr>
        <w:t>viele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englischsprachige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Werke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vor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>:</w:t>
      </w:r>
    </w:p>
    <w:p w:rsidR="000E0A2D" w:rsidRPr="00F83320" w:rsidRDefault="000E0A2D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</w:p>
    <w:p w:rsidR="000E0A2D" w:rsidRPr="00F83320" w:rsidRDefault="000E0A2D" w:rsidP="00F83320">
      <w:pPr>
        <w:jc w:val="both"/>
        <w:rPr>
          <w:rFonts w:ascii="Calibri" w:eastAsia="Times New Roman" w:hAnsi="Calibri" w:cs="Arial"/>
          <w:color w:val="262626" w:themeColor="text1" w:themeTint="D9"/>
          <w:sz w:val="22"/>
          <w:szCs w:val="22"/>
        </w:rPr>
      </w:pPr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*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Griebel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,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Internationales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eastAsia="Times New Roman" w:hAnsi="Calibri" w:cs="Arial"/>
          <w:color w:val="262626" w:themeColor="text1" w:themeTint="D9"/>
          <w:sz w:val="22"/>
          <w:szCs w:val="22"/>
        </w:rPr>
        <w:t>Investitionsrecht</w:t>
      </w:r>
      <w:proofErr w:type="spellEnd"/>
      <w:r w:rsidRPr="00F83320">
        <w:rPr>
          <w:rFonts w:ascii="Calibri" w:eastAsia="Times New Roman" w:hAnsi="Calibri" w:cs="Arial"/>
          <w:color w:val="262626" w:themeColor="text1" w:themeTint="D9"/>
          <w:sz w:val="22"/>
          <w:szCs w:val="22"/>
        </w:rPr>
        <w:t xml:space="preserve"> (Beck, 2008)</w:t>
      </w:r>
    </w:p>
    <w:p w:rsidR="000E0A2D" w:rsidRPr="00F83320" w:rsidRDefault="000E0A2D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*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Dolzer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>/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Schreuer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, Principles of International Investment Law (Oxford Univ. Press, 2.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Aufl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>. 2012)</w:t>
      </w:r>
    </w:p>
    <w:p w:rsidR="000E0A2D" w:rsidRPr="00F83320" w:rsidRDefault="000E0A2D" w:rsidP="00F8332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Arial"/>
          <w:b w:val="0"/>
          <w:color w:val="262626" w:themeColor="text1" w:themeTint="D9"/>
          <w:sz w:val="22"/>
          <w:szCs w:val="22"/>
        </w:rPr>
      </w:pPr>
      <w:r w:rsidRPr="00F83320">
        <w:rPr>
          <w:rFonts w:ascii="Calibri" w:hAnsi="Calibri"/>
          <w:b w:val="0"/>
          <w:color w:val="262626" w:themeColor="text1" w:themeTint="D9"/>
          <w:sz w:val="22"/>
          <w:szCs w:val="22"/>
        </w:rPr>
        <w:t xml:space="preserve">* </w:t>
      </w:r>
      <w:proofErr w:type="spellStart"/>
      <w:r w:rsidRPr="00F83320">
        <w:rPr>
          <w:rFonts w:ascii="Calibri" w:hAnsi="Calibri"/>
          <w:b w:val="0"/>
          <w:color w:val="262626" w:themeColor="text1" w:themeTint="D9"/>
          <w:sz w:val="22"/>
          <w:szCs w:val="22"/>
        </w:rPr>
        <w:t>Nadukavaran</w:t>
      </w:r>
      <w:proofErr w:type="spellEnd"/>
      <w:r w:rsidRPr="00F83320">
        <w:rPr>
          <w:rFonts w:ascii="Calibri" w:hAnsi="Calibri"/>
          <w:b w:val="0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b w:val="0"/>
          <w:color w:val="262626" w:themeColor="text1" w:themeTint="D9"/>
          <w:sz w:val="22"/>
          <w:szCs w:val="22"/>
        </w:rPr>
        <w:t>Schefer</w:t>
      </w:r>
      <w:proofErr w:type="spellEnd"/>
      <w:r w:rsidRPr="00F83320">
        <w:rPr>
          <w:rFonts w:ascii="Calibri" w:hAnsi="Calibri"/>
          <w:b w:val="0"/>
          <w:color w:val="262626" w:themeColor="text1" w:themeTint="D9"/>
          <w:sz w:val="22"/>
          <w:szCs w:val="22"/>
        </w:rPr>
        <w:t xml:space="preserve">, </w:t>
      </w:r>
      <w:r w:rsidRPr="00F83320">
        <w:rPr>
          <w:rStyle w:val="a-size-large"/>
          <w:rFonts w:ascii="Calibri" w:eastAsia="Times New Roman" w:hAnsi="Calibri" w:cs="Arial"/>
          <w:b w:val="0"/>
          <w:color w:val="262626" w:themeColor="text1" w:themeTint="D9"/>
          <w:sz w:val="22"/>
          <w:szCs w:val="22"/>
        </w:rPr>
        <w:t xml:space="preserve">International Investment Law: Text, Cases </w:t>
      </w:r>
      <w:proofErr w:type="spellStart"/>
      <w:r w:rsidRPr="00F83320">
        <w:rPr>
          <w:rStyle w:val="a-size-large"/>
          <w:rFonts w:ascii="Calibri" w:eastAsia="Times New Roman" w:hAnsi="Calibri" w:cs="Arial"/>
          <w:b w:val="0"/>
          <w:color w:val="262626" w:themeColor="text1" w:themeTint="D9"/>
          <w:sz w:val="22"/>
          <w:szCs w:val="22"/>
        </w:rPr>
        <w:t>and</w:t>
      </w:r>
      <w:proofErr w:type="spellEnd"/>
      <w:r w:rsidRPr="00F83320">
        <w:rPr>
          <w:rStyle w:val="a-size-large"/>
          <w:rFonts w:ascii="Calibri" w:eastAsia="Times New Roman" w:hAnsi="Calibri" w:cs="Arial"/>
          <w:b w:val="0"/>
          <w:color w:val="262626" w:themeColor="text1" w:themeTint="D9"/>
          <w:sz w:val="22"/>
          <w:szCs w:val="22"/>
        </w:rPr>
        <w:t xml:space="preserve"> Materials (Elgar, 2. Aufl., 2016)</w:t>
      </w:r>
    </w:p>
    <w:p w:rsidR="000E0A2D" w:rsidRPr="00F83320" w:rsidRDefault="000E0A2D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*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Subedi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, International Investment Law. Reconciling Policy and Principle (Hart, 3.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Aufl</w:t>
      </w:r>
      <w:proofErr w:type="spellEnd"/>
      <w:proofErr w:type="gram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.,</w:t>
      </w:r>
      <w:proofErr w:type="gram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2016)</w:t>
      </w:r>
    </w:p>
    <w:p w:rsidR="000E0A2D" w:rsidRPr="00F83320" w:rsidRDefault="000E0A2D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</w:p>
    <w:p w:rsidR="000E0A2D" w:rsidRPr="00F83320" w:rsidRDefault="000E0A2D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</w:p>
    <w:p w:rsidR="000E0A2D" w:rsidRPr="00F83320" w:rsidRDefault="000E0A2D" w:rsidP="00F83320">
      <w:pPr>
        <w:jc w:val="both"/>
        <w:rPr>
          <w:rFonts w:ascii="Calibri" w:hAnsi="Calibri"/>
          <w:b/>
          <w:color w:val="262626" w:themeColor="text1" w:themeTint="D9"/>
          <w:sz w:val="22"/>
          <w:szCs w:val="22"/>
        </w:rPr>
      </w:pPr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 xml:space="preserve">3) </w:t>
      </w:r>
      <w:proofErr w:type="spellStart"/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>Vertragstexte</w:t>
      </w:r>
      <w:proofErr w:type="spellEnd"/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 xml:space="preserve">, </w:t>
      </w:r>
      <w:proofErr w:type="spellStart"/>
      <w:r w:rsidRPr="00F83320">
        <w:rPr>
          <w:rFonts w:ascii="Calibri" w:hAnsi="Calibri"/>
          <w:b/>
          <w:color w:val="262626" w:themeColor="text1" w:themeTint="D9"/>
          <w:sz w:val="22"/>
          <w:szCs w:val="22"/>
        </w:rPr>
        <w:t>Fallsammlungen</w:t>
      </w:r>
      <w:proofErr w:type="spellEnd"/>
    </w:p>
    <w:p w:rsidR="000E0A2D" w:rsidRPr="00F83320" w:rsidRDefault="000E0A2D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Ein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Großteil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der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Rechtsprechung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internationaler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Schiedsgerichte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proofErr w:type="gram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ist</w:t>
      </w:r>
      <w:proofErr w:type="spellEnd"/>
      <w:proofErr w:type="gram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online (in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englischer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Sprache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)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verfügbar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. Die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beste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Website </w:t>
      </w:r>
      <w:proofErr w:type="spellStart"/>
      <w:proofErr w:type="gram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ist</w:t>
      </w:r>
      <w:proofErr w:type="spellEnd"/>
      <w:proofErr w:type="gram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hyperlink r:id="rId7" w:history="1">
        <w:r w:rsidRPr="00F83320">
          <w:rPr>
            <w:rStyle w:val="Hyperlink"/>
            <w:rFonts w:ascii="Calibri" w:hAnsi="Calibri"/>
            <w:color w:val="262626" w:themeColor="text1" w:themeTint="D9"/>
            <w:sz w:val="22"/>
            <w:szCs w:val="22"/>
          </w:rPr>
          <w:t>https://www.italaw.com/</w:t>
        </w:r>
      </w:hyperlink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. Die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Texte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nahezu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aller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relevanten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zwischenstaatlichen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Verträge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proofErr w:type="gram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sind</w:t>
      </w:r>
      <w:proofErr w:type="spellEnd"/>
      <w:proofErr w:type="gram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unter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hyperlink r:id="rId8" w:history="1">
        <w:r w:rsidRPr="00F83320">
          <w:rPr>
            <w:rStyle w:val="Hyperlink"/>
            <w:rFonts w:ascii="Calibri" w:hAnsi="Calibri"/>
            <w:color w:val="262626" w:themeColor="text1" w:themeTint="D9"/>
            <w:sz w:val="22"/>
            <w:szCs w:val="22"/>
          </w:rPr>
          <w:t>http://investmentpolicyhub.unctad.org/IIA</w:t>
        </w:r>
      </w:hyperlink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abrufbar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. </w:t>
      </w:r>
    </w:p>
    <w:p w:rsidR="000E0A2D" w:rsidRPr="00F83320" w:rsidRDefault="000E0A2D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</w:p>
    <w:p w:rsidR="000E0A2D" w:rsidRPr="00F83320" w:rsidRDefault="00F83320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Die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folgenden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Textsammlungen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zum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Investitionsschutzrecht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bieten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viele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Details: </w:t>
      </w:r>
    </w:p>
    <w:p w:rsidR="00F83320" w:rsidRPr="00F83320" w:rsidRDefault="00F83320" w:rsidP="00F83320">
      <w:pPr>
        <w:jc w:val="both"/>
        <w:rPr>
          <w:rFonts w:ascii="Calibri" w:eastAsia="Times New Roman" w:hAnsi="Calibri" w:cs="Arial"/>
          <w:color w:val="262626" w:themeColor="text1" w:themeTint="D9"/>
          <w:sz w:val="22"/>
          <w:szCs w:val="22"/>
          <w:shd w:val="clear" w:color="auto" w:fill="FFFFFF"/>
          <w:lang w:val="de-DE"/>
        </w:rPr>
      </w:pP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Paparinskis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, </w:t>
      </w:r>
      <w:r w:rsidRPr="00F83320">
        <w:rPr>
          <w:rFonts w:ascii="Calibri" w:eastAsia="Times New Roman" w:hAnsi="Calibri" w:cs="Arial"/>
          <w:color w:val="262626" w:themeColor="text1" w:themeTint="D9"/>
          <w:sz w:val="22"/>
          <w:szCs w:val="22"/>
          <w:shd w:val="clear" w:color="auto" w:fill="FFFFFF"/>
          <w:lang w:val="de-DE"/>
        </w:rPr>
        <w:t xml:space="preserve">Basic </w:t>
      </w:r>
      <w:proofErr w:type="spellStart"/>
      <w:r w:rsidRPr="00F83320">
        <w:rPr>
          <w:rFonts w:ascii="Calibri" w:eastAsia="Times New Roman" w:hAnsi="Calibri" w:cs="Arial"/>
          <w:color w:val="262626" w:themeColor="text1" w:themeTint="D9"/>
          <w:sz w:val="22"/>
          <w:szCs w:val="22"/>
          <w:shd w:val="clear" w:color="auto" w:fill="FFFFFF"/>
          <w:lang w:val="de-DE"/>
        </w:rPr>
        <w:t>Documents</w:t>
      </w:r>
      <w:proofErr w:type="spellEnd"/>
      <w:r w:rsidRPr="00F83320">
        <w:rPr>
          <w:rFonts w:ascii="Calibri" w:eastAsia="Times New Roman" w:hAnsi="Calibri" w:cs="Arial"/>
          <w:color w:val="262626" w:themeColor="text1" w:themeTint="D9"/>
          <w:sz w:val="22"/>
          <w:szCs w:val="22"/>
          <w:shd w:val="clear" w:color="auto" w:fill="FFFFFF"/>
          <w:lang w:val="de-DE"/>
        </w:rPr>
        <w:t xml:space="preserve"> on International </w:t>
      </w:r>
      <w:r w:rsidRPr="00F83320">
        <w:rPr>
          <w:rFonts w:ascii="Calibri" w:eastAsia="Times New Roman" w:hAnsi="Calibri" w:cs="Arial"/>
          <w:b/>
          <w:bCs/>
          <w:color w:val="262626" w:themeColor="text1" w:themeTint="D9"/>
          <w:sz w:val="22"/>
          <w:szCs w:val="22"/>
          <w:shd w:val="clear" w:color="auto" w:fill="FFFFFF"/>
          <w:lang w:val="de-DE"/>
        </w:rPr>
        <w:t>Investment</w:t>
      </w:r>
      <w:r w:rsidRPr="00F83320">
        <w:rPr>
          <w:rFonts w:ascii="Calibri" w:eastAsia="Times New Roman" w:hAnsi="Calibri" w:cs="Arial"/>
          <w:color w:val="262626" w:themeColor="text1" w:themeTint="D9"/>
          <w:sz w:val="22"/>
          <w:szCs w:val="22"/>
          <w:shd w:val="clear" w:color="auto" w:fill="FFFFFF"/>
          <w:lang w:val="de-DE"/>
        </w:rPr>
        <w:t> </w:t>
      </w:r>
      <w:proofErr w:type="spellStart"/>
      <w:r w:rsidRPr="00F83320">
        <w:rPr>
          <w:rFonts w:ascii="Calibri" w:eastAsia="Times New Roman" w:hAnsi="Calibri" w:cs="Arial"/>
          <w:color w:val="262626" w:themeColor="text1" w:themeTint="D9"/>
          <w:sz w:val="22"/>
          <w:szCs w:val="22"/>
          <w:shd w:val="clear" w:color="auto" w:fill="FFFFFF"/>
          <w:lang w:val="de-DE"/>
        </w:rPr>
        <w:t>Protection</w:t>
      </w:r>
      <w:proofErr w:type="spellEnd"/>
      <w:r w:rsidRPr="00F83320">
        <w:rPr>
          <w:rFonts w:ascii="Calibri" w:eastAsia="Times New Roman" w:hAnsi="Calibri" w:cs="Arial"/>
          <w:color w:val="262626" w:themeColor="text1" w:themeTint="D9"/>
          <w:sz w:val="22"/>
          <w:szCs w:val="22"/>
          <w:shd w:val="clear" w:color="auto" w:fill="FFFFFF"/>
          <w:lang w:val="de-DE"/>
        </w:rPr>
        <w:t xml:space="preserve"> (Hart, 2012)</w:t>
      </w:r>
    </w:p>
    <w:p w:rsidR="00F83320" w:rsidRPr="00F83320" w:rsidRDefault="00F83320" w:rsidP="00F83320">
      <w:pPr>
        <w:jc w:val="both"/>
        <w:rPr>
          <w:rFonts w:ascii="Calibri" w:eastAsia="Times New Roman" w:hAnsi="Calibri" w:cs="Arial"/>
          <w:color w:val="262626" w:themeColor="text1" w:themeTint="D9"/>
          <w:sz w:val="22"/>
          <w:szCs w:val="22"/>
          <w:shd w:val="clear" w:color="auto" w:fill="FFFFFF"/>
          <w:lang w:val="de-DE"/>
        </w:rPr>
      </w:pPr>
      <w:r w:rsidRPr="00F83320">
        <w:rPr>
          <w:rFonts w:ascii="Calibri" w:eastAsia="Times New Roman" w:hAnsi="Calibri" w:cs="Arial"/>
          <w:color w:val="262626" w:themeColor="text1" w:themeTint="D9"/>
          <w:sz w:val="22"/>
          <w:szCs w:val="22"/>
          <w:shd w:val="clear" w:color="auto" w:fill="FFFFFF"/>
          <w:lang w:val="de-DE"/>
        </w:rPr>
        <w:t>Tams/</w:t>
      </w:r>
      <w:proofErr w:type="spellStart"/>
      <w:r w:rsidRPr="00F83320">
        <w:rPr>
          <w:rFonts w:ascii="Calibri" w:eastAsia="Times New Roman" w:hAnsi="Calibri" w:cs="Arial"/>
          <w:color w:val="262626" w:themeColor="text1" w:themeTint="D9"/>
          <w:sz w:val="22"/>
          <w:szCs w:val="22"/>
          <w:shd w:val="clear" w:color="auto" w:fill="FFFFFF"/>
          <w:lang w:val="de-DE"/>
        </w:rPr>
        <w:t>Tietje</w:t>
      </w:r>
      <w:proofErr w:type="spellEnd"/>
      <w:r w:rsidRPr="00F83320">
        <w:rPr>
          <w:rFonts w:ascii="Calibri" w:eastAsia="Times New Roman" w:hAnsi="Calibri" w:cs="Arial"/>
          <w:color w:val="262626" w:themeColor="text1" w:themeTint="D9"/>
          <w:sz w:val="22"/>
          <w:szCs w:val="22"/>
          <w:shd w:val="clear" w:color="auto" w:fill="FFFFFF"/>
          <w:lang w:val="de-DE"/>
        </w:rPr>
        <w:t xml:space="preserve">, Basic </w:t>
      </w:r>
      <w:proofErr w:type="spellStart"/>
      <w:r w:rsidRPr="00F83320">
        <w:rPr>
          <w:rFonts w:ascii="Calibri" w:eastAsia="Times New Roman" w:hAnsi="Calibri" w:cs="Arial"/>
          <w:color w:val="262626" w:themeColor="text1" w:themeTint="D9"/>
          <w:sz w:val="22"/>
          <w:szCs w:val="22"/>
          <w:shd w:val="clear" w:color="auto" w:fill="FFFFFF"/>
          <w:lang w:val="de-DE"/>
        </w:rPr>
        <w:t>Documents</w:t>
      </w:r>
      <w:proofErr w:type="spellEnd"/>
      <w:r w:rsidRPr="00F83320">
        <w:rPr>
          <w:rFonts w:ascii="Calibri" w:eastAsia="Times New Roman" w:hAnsi="Calibri" w:cs="Arial"/>
          <w:color w:val="262626" w:themeColor="text1" w:themeTint="D9"/>
          <w:sz w:val="22"/>
          <w:szCs w:val="22"/>
          <w:shd w:val="clear" w:color="auto" w:fill="FFFFFF"/>
          <w:lang w:val="de-DE"/>
        </w:rPr>
        <w:t xml:space="preserve"> on International </w:t>
      </w:r>
      <w:proofErr w:type="spellStart"/>
      <w:r w:rsidRPr="00F83320">
        <w:rPr>
          <w:rFonts w:ascii="Calibri" w:eastAsia="Times New Roman" w:hAnsi="Calibri" w:cs="Arial"/>
          <w:color w:val="262626" w:themeColor="text1" w:themeTint="D9"/>
          <w:sz w:val="22"/>
          <w:szCs w:val="22"/>
          <w:shd w:val="clear" w:color="auto" w:fill="FFFFFF"/>
          <w:lang w:val="de-DE"/>
        </w:rPr>
        <w:t>Economic</w:t>
      </w:r>
      <w:proofErr w:type="spellEnd"/>
      <w:r w:rsidRPr="00F83320">
        <w:rPr>
          <w:rFonts w:ascii="Calibri" w:eastAsia="Times New Roman" w:hAnsi="Calibri" w:cs="Arial"/>
          <w:color w:val="262626" w:themeColor="text1" w:themeTint="D9"/>
          <w:sz w:val="22"/>
          <w:szCs w:val="22"/>
          <w:shd w:val="clear" w:color="auto" w:fill="FFFFFF"/>
          <w:lang w:val="de-DE"/>
        </w:rPr>
        <w:t xml:space="preserve"> Law (Oxford University Press, 2012)</w:t>
      </w:r>
    </w:p>
    <w:p w:rsidR="00F83320" w:rsidRPr="00F83320" w:rsidRDefault="00F83320" w:rsidP="00F83320">
      <w:pPr>
        <w:jc w:val="both"/>
        <w:rPr>
          <w:rFonts w:ascii="Calibri" w:eastAsia="Times New Roman" w:hAnsi="Calibri" w:cs="Times New Roman"/>
          <w:color w:val="262626" w:themeColor="text1" w:themeTint="D9"/>
          <w:sz w:val="22"/>
          <w:szCs w:val="22"/>
          <w:lang w:val="de-DE"/>
        </w:rPr>
      </w:pPr>
    </w:p>
    <w:p w:rsidR="00F83320" w:rsidRPr="00F83320" w:rsidRDefault="00F83320" w:rsidP="00F83320">
      <w:pPr>
        <w:jc w:val="both"/>
        <w:rPr>
          <w:rFonts w:ascii="Calibri" w:hAnsi="Calibri"/>
          <w:color w:val="262626" w:themeColor="text1" w:themeTint="D9"/>
          <w:sz w:val="22"/>
          <w:szCs w:val="22"/>
        </w:rPr>
      </w:pPr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N.B.: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Für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die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Klausur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in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unserem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Kurs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müssen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Sie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keine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dieser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(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teuren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)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Textsammlungen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erwerben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,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können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aber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Kopien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relevanter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Verträge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mit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in den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Klausurraum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nehmen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. </w:t>
      </w:r>
      <w:proofErr w:type="gramStart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Details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werden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in der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Vorlesung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F83320">
        <w:rPr>
          <w:rFonts w:ascii="Calibri" w:hAnsi="Calibri"/>
          <w:color w:val="262626" w:themeColor="text1" w:themeTint="D9"/>
          <w:sz w:val="22"/>
          <w:szCs w:val="22"/>
        </w:rPr>
        <w:t>besprochen</w:t>
      </w:r>
      <w:proofErr w:type="spellEnd"/>
      <w:r w:rsidRPr="00F83320">
        <w:rPr>
          <w:rFonts w:ascii="Calibri" w:hAnsi="Calibri"/>
          <w:color w:val="262626" w:themeColor="text1" w:themeTint="D9"/>
          <w:sz w:val="22"/>
          <w:szCs w:val="22"/>
        </w:rPr>
        <w:t>.</w:t>
      </w:r>
      <w:proofErr w:type="gramEnd"/>
    </w:p>
    <w:p w:rsidR="000E0A2D" w:rsidRPr="00F83320" w:rsidRDefault="000E0A2D" w:rsidP="00F83320">
      <w:pPr>
        <w:jc w:val="both"/>
        <w:rPr>
          <w:sz w:val="22"/>
          <w:szCs w:val="22"/>
        </w:rPr>
      </w:pPr>
    </w:p>
    <w:p w:rsidR="000E0A2D" w:rsidRPr="00F83320" w:rsidRDefault="000E0A2D" w:rsidP="00F83320">
      <w:pPr>
        <w:jc w:val="both"/>
        <w:rPr>
          <w:sz w:val="22"/>
          <w:szCs w:val="22"/>
        </w:rPr>
      </w:pPr>
      <w:r w:rsidRPr="00F83320">
        <w:rPr>
          <w:sz w:val="22"/>
          <w:szCs w:val="22"/>
        </w:rPr>
        <w:t xml:space="preserve"> </w:t>
      </w:r>
    </w:p>
    <w:p w:rsidR="000E0A2D" w:rsidRPr="00F83320" w:rsidRDefault="000E0A2D" w:rsidP="00F83320">
      <w:pPr>
        <w:jc w:val="both"/>
        <w:rPr>
          <w:rFonts w:ascii="Times" w:eastAsia="Times New Roman" w:hAnsi="Times" w:cs="Times New Roman"/>
          <w:sz w:val="22"/>
          <w:szCs w:val="22"/>
          <w:lang w:val="de-DE"/>
        </w:rPr>
      </w:pPr>
    </w:p>
    <w:p w:rsidR="006659CB" w:rsidRPr="00F83320" w:rsidRDefault="006659CB" w:rsidP="00F83320">
      <w:pPr>
        <w:jc w:val="both"/>
        <w:rPr>
          <w:sz w:val="22"/>
          <w:szCs w:val="22"/>
        </w:rPr>
      </w:pPr>
      <w:bookmarkStart w:id="0" w:name="_GoBack"/>
      <w:bookmarkEnd w:id="0"/>
    </w:p>
    <w:sectPr w:rsidR="006659CB" w:rsidRPr="00F83320" w:rsidSect="002D5BEF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20" w:rsidRDefault="00F83320" w:rsidP="00F83320">
      <w:r>
        <w:separator/>
      </w:r>
    </w:p>
  </w:endnote>
  <w:endnote w:type="continuationSeparator" w:id="0">
    <w:p w:rsidR="00F83320" w:rsidRDefault="00F83320" w:rsidP="00F8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20" w:rsidRDefault="00F83320" w:rsidP="00F83320">
      <w:r>
        <w:separator/>
      </w:r>
    </w:p>
  </w:footnote>
  <w:footnote w:type="continuationSeparator" w:id="0">
    <w:p w:rsidR="00F83320" w:rsidRDefault="00F83320" w:rsidP="00F833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20" w:rsidRPr="00F83320" w:rsidRDefault="00F83320" w:rsidP="00F83320">
    <w:pPr>
      <w:pStyle w:val="Header"/>
      <w:jc w:val="right"/>
      <w:rPr>
        <w:rFonts w:ascii="Calibri" w:hAnsi="Calibri"/>
        <w:sz w:val="20"/>
        <w:szCs w:val="20"/>
      </w:rPr>
    </w:pPr>
    <w:r w:rsidRPr="00F83320">
      <w:rPr>
        <w:rFonts w:ascii="Calibri" w:hAnsi="Calibri"/>
        <w:sz w:val="20"/>
        <w:szCs w:val="20"/>
      </w:rPr>
      <w:t xml:space="preserve">Tams, </w:t>
    </w:r>
    <w:proofErr w:type="spellStart"/>
    <w:r w:rsidRPr="00F83320">
      <w:rPr>
        <w:rFonts w:ascii="Calibri" w:hAnsi="Calibri"/>
        <w:sz w:val="20"/>
        <w:szCs w:val="20"/>
      </w:rPr>
      <w:t>Investitionsschutzrecht</w:t>
    </w:r>
    <w:proofErr w:type="spellEnd"/>
    <w:r w:rsidRPr="00F83320">
      <w:rPr>
        <w:rFonts w:ascii="Calibri" w:hAnsi="Calibri"/>
        <w:sz w:val="20"/>
        <w:szCs w:val="20"/>
      </w:rPr>
      <w:t xml:space="preserve"> I</w:t>
    </w:r>
    <w:r w:rsidRPr="00F83320">
      <w:rPr>
        <w:rFonts w:ascii="Calibri" w:hAnsi="Calibri"/>
        <w:sz w:val="20"/>
        <w:szCs w:val="20"/>
      </w:rPr>
      <w:br/>
    </w:r>
    <w:proofErr w:type="spellStart"/>
    <w:r w:rsidRPr="00F83320">
      <w:rPr>
        <w:rFonts w:ascii="Calibri" w:hAnsi="Calibri"/>
        <w:sz w:val="20"/>
        <w:szCs w:val="20"/>
      </w:rPr>
      <w:t>Universität</w:t>
    </w:r>
    <w:proofErr w:type="spellEnd"/>
    <w:r w:rsidRPr="00F83320">
      <w:rPr>
        <w:rFonts w:ascii="Calibri" w:hAnsi="Calibri"/>
        <w:sz w:val="20"/>
        <w:szCs w:val="20"/>
      </w:rPr>
      <w:t xml:space="preserve"> </w:t>
    </w:r>
    <w:proofErr w:type="spellStart"/>
    <w:r w:rsidRPr="00F83320">
      <w:rPr>
        <w:rFonts w:ascii="Calibri" w:hAnsi="Calibri"/>
        <w:sz w:val="20"/>
        <w:szCs w:val="20"/>
      </w:rPr>
      <w:t>zu</w:t>
    </w:r>
    <w:proofErr w:type="spellEnd"/>
    <w:r w:rsidRPr="00F83320">
      <w:rPr>
        <w:rFonts w:ascii="Calibri" w:hAnsi="Calibri"/>
        <w:sz w:val="20"/>
        <w:szCs w:val="20"/>
      </w:rPr>
      <w:t xml:space="preserve"> Köln, </w:t>
    </w:r>
    <w:proofErr w:type="spellStart"/>
    <w:r w:rsidRPr="00F83320">
      <w:rPr>
        <w:rFonts w:ascii="Calibri" w:hAnsi="Calibri"/>
        <w:sz w:val="20"/>
        <w:szCs w:val="20"/>
      </w:rPr>
      <w:t>SoSe</w:t>
    </w:r>
    <w:proofErr w:type="spellEnd"/>
    <w:r w:rsidRPr="00F83320">
      <w:rPr>
        <w:rFonts w:ascii="Calibri" w:hAnsi="Calibri"/>
        <w:sz w:val="20"/>
        <w:szCs w:val="20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CB"/>
    <w:rsid w:val="000E0A2D"/>
    <w:rsid w:val="001E47F7"/>
    <w:rsid w:val="002D5BEF"/>
    <w:rsid w:val="006659CB"/>
    <w:rsid w:val="00743A31"/>
    <w:rsid w:val="00F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F4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0E0A2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7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0A2D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E0A2D"/>
  </w:style>
  <w:style w:type="character" w:styleId="Hyperlink">
    <w:name w:val="Hyperlink"/>
    <w:basedOn w:val="DefaultParagraphFont"/>
    <w:uiPriority w:val="99"/>
    <w:unhideWhenUsed/>
    <w:rsid w:val="000E0A2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83320"/>
  </w:style>
  <w:style w:type="character" w:styleId="Emphasis">
    <w:name w:val="Emphasis"/>
    <w:basedOn w:val="DefaultParagraphFont"/>
    <w:uiPriority w:val="20"/>
    <w:qFormat/>
    <w:rsid w:val="00F833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833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2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33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20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0E0A2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7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0A2D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E0A2D"/>
  </w:style>
  <w:style w:type="character" w:styleId="Hyperlink">
    <w:name w:val="Hyperlink"/>
    <w:basedOn w:val="DefaultParagraphFont"/>
    <w:uiPriority w:val="99"/>
    <w:unhideWhenUsed/>
    <w:rsid w:val="000E0A2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83320"/>
  </w:style>
  <w:style w:type="character" w:styleId="Emphasis">
    <w:name w:val="Emphasis"/>
    <w:basedOn w:val="DefaultParagraphFont"/>
    <w:uiPriority w:val="20"/>
    <w:qFormat/>
    <w:rsid w:val="00F833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833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2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33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2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italaw.com/" TargetMode="External"/><Relationship Id="rId8" Type="http://schemas.openxmlformats.org/officeDocument/2006/relationships/hyperlink" Target="http://investmentpolicyhub.unctad.org/II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344</Words>
  <Characters>1964</Characters>
  <Application>Microsoft Macintosh Word</Application>
  <DocSecurity>0</DocSecurity>
  <Lines>16</Lines>
  <Paragraphs>4</Paragraphs>
  <ScaleCrop>false</ScaleCrop>
  <Company>University of Glasgow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 Tams</dc:creator>
  <cp:keywords/>
  <dc:description/>
  <cp:lastModifiedBy>Christian J Tams</cp:lastModifiedBy>
  <cp:revision>1</cp:revision>
  <dcterms:created xsi:type="dcterms:W3CDTF">2017-05-16T15:59:00Z</dcterms:created>
  <dcterms:modified xsi:type="dcterms:W3CDTF">2017-05-17T05:23:00Z</dcterms:modified>
</cp:coreProperties>
</file>